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7CA290" w14:textId="6A6F701A" w:rsidR="00B33126" w:rsidRPr="00B33126" w:rsidRDefault="00B33126">
      <w:pPr>
        <w:rPr>
          <w:bCs/>
          <w:sz w:val="20"/>
          <w:szCs w:val="20"/>
        </w:rPr>
      </w:pPr>
      <w:r w:rsidRPr="00B33126">
        <w:rPr>
          <w:bCs/>
          <w:sz w:val="20"/>
          <w:szCs w:val="20"/>
        </w:rPr>
        <w:t>N° PR</w:t>
      </w:r>
      <w:r w:rsidRPr="00B33126">
        <w:rPr>
          <w:bCs/>
          <w:sz w:val="20"/>
          <w:szCs w:val="20"/>
        </w:rPr>
        <w:t xml:space="preserve"> 10028-0022-05/2024</w:t>
      </w:r>
    </w:p>
    <w:p w14:paraId="23918F84" w14:textId="77777777" w:rsidR="00B33126" w:rsidRDefault="00B33126">
      <w:pPr>
        <w:rPr>
          <w:b/>
          <w:sz w:val="28"/>
        </w:rPr>
      </w:pPr>
    </w:p>
    <w:p w14:paraId="38CFBC24" w14:textId="7975497F" w:rsidR="00DE4BDD" w:rsidRPr="00B73F0B" w:rsidRDefault="007D648F">
      <w:pPr>
        <w:rPr>
          <w:b/>
          <w:bCs/>
          <w:sz w:val="28"/>
          <w:szCs w:val="28"/>
        </w:rPr>
      </w:pPr>
      <w:r>
        <w:rPr>
          <w:b/>
          <w:sz w:val="28"/>
        </w:rPr>
        <w:t>Faible encombrement et facile à coulisser</w:t>
      </w:r>
    </w:p>
    <w:p w14:paraId="46DEF464" w14:textId="1F4BBCEA" w:rsidR="00DE4BDD" w:rsidRPr="00DE4BDD" w:rsidRDefault="00DE4BDD">
      <w:pPr>
        <w:rPr>
          <w:b/>
          <w:bCs/>
        </w:rPr>
      </w:pPr>
      <w:r>
        <w:rPr>
          <w:b/>
        </w:rPr>
        <w:t xml:space="preserve">Lorsque la paroi devient meuble ... </w:t>
      </w:r>
    </w:p>
    <w:p w14:paraId="63558642" w14:textId="77777777" w:rsidR="00DE4BDD" w:rsidRPr="00DE4BDD" w:rsidRDefault="00DE4BDD"/>
    <w:p w14:paraId="3FB27791" w14:textId="7F0D683F" w:rsidR="00707A20" w:rsidRPr="00803651" w:rsidRDefault="00803651" w:rsidP="00B33126">
      <w:pPr>
        <w:spacing w:line="274" w:lineRule="auto"/>
        <w:rPr>
          <w:b/>
          <w:bCs/>
        </w:rPr>
      </w:pPr>
      <w:r>
        <w:rPr>
          <w:b/>
        </w:rPr>
        <w:t xml:space="preserve">Penderie ou dressing ? Armoire ou cuisine linéaire ? Niche ou accès à la buanderie ? Chambre d’hôtel ou bureau ? Une nouvelle génération de ferrures pour portes à pivotement, coulissement-repliement et escamotage est en mesure de concilier toutes ces options d’aménagement intérieur, si bien que la taille, l’effet et la fonction des pièces s’adaptent à tout moment et en toute flexibilité aux besoins du moment. Elle a été développée par Hawa </w:t>
      </w:r>
      <w:proofErr w:type="spellStart"/>
      <w:r>
        <w:rPr>
          <w:b/>
        </w:rPr>
        <w:t>Sliding</w:t>
      </w:r>
      <w:proofErr w:type="spellEnd"/>
      <w:r>
        <w:rPr>
          <w:b/>
        </w:rPr>
        <w:t xml:space="preserve"> Solutions AG en collaboration avec des designers, des ébénistes-menuisiers et des utilisateurs. Fermées, les portes affleurantes se confondent avec les murs. Ouvertes, elles ne gênent pas et disparaissent sans encombrement dans un galandage latéral.</w:t>
      </w:r>
    </w:p>
    <w:p w14:paraId="271E6711" w14:textId="77777777" w:rsidR="00707A20" w:rsidRDefault="00707A20" w:rsidP="00B33126">
      <w:pPr>
        <w:spacing w:line="274" w:lineRule="auto"/>
      </w:pPr>
    </w:p>
    <w:p w14:paraId="608AB78A" w14:textId="76EC2EC5" w:rsidR="00320096" w:rsidRDefault="008D077A" w:rsidP="00B33126">
      <w:pPr>
        <w:spacing w:line="274" w:lineRule="auto"/>
      </w:pPr>
      <w:r>
        <w:t xml:space="preserve">Le nom « Hawa </w:t>
      </w:r>
      <w:proofErr w:type="spellStart"/>
      <w:r>
        <w:t>Concepta</w:t>
      </w:r>
      <w:proofErr w:type="spellEnd"/>
      <w:r>
        <w:t xml:space="preserve"> » est synonyme du grand savoir-faire en transformation du meuble. À présent, la grande richesse de variantes proposée par la ferrure de coulissement-repliement et d'escamotage « Hawa </w:t>
      </w:r>
      <w:proofErr w:type="spellStart"/>
      <w:r>
        <w:t>Folding</w:t>
      </w:r>
      <w:proofErr w:type="spellEnd"/>
      <w:r>
        <w:t xml:space="preserve"> </w:t>
      </w:r>
      <w:proofErr w:type="spellStart"/>
      <w:r>
        <w:t>Concepta</w:t>
      </w:r>
      <w:proofErr w:type="spellEnd"/>
      <w:r>
        <w:t xml:space="preserve"> III » est encore améliorée par la nouvelle ferrure de coulissement-pivotement et d'escamotage « Hawa </w:t>
      </w:r>
      <w:proofErr w:type="spellStart"/>
      <w:r>
        <w:t>Folding</w:t>
      </w:r>
      <w:proofErr w:type="spellEnd"/>
      <w:r>
        <w:t xml:space="preserve"> </w:t>
      </w:r>
      <w:proofErr w:type="spellStart"/>
      <w:r>
        <w:t>Concepta</w:t>
      </w:r>
      <w:proofErr w:type="spellEnd"/>
      <w:r>
        <w:t xml:space="preserve"> III » pour les solutions à deux et quatre portes, mais aussi à trois portes sans paroi centrale et pour les structures de grande surface jusqu’à trois mètres de large et 2,70 mètres de haut. Indépendamment de la hauteur et de la largeur de la porte, que ce soit une solution Pull avec poignée ou une solution Push sans poignée, que ce soit pour des armoires superposées ou des solutions à hauteur de plafond et accessibles, qu’elle soit encastrée ou en applique, l’actuelle génération de ferrures ne fixe aucune limite aux idées de planification.</w:t>
      </w:r>
    </w:p>
    <w:p w14:paraId="54D0C862" w14:textId="77777777" w:rsidR="00B33126" w:rsidRDefault="00B33126" w:rsidP="00B33126">
      <w:pPr>
        <w:spacing w:line="274" w:lineRule="auto"/>
      </w:pPr>
    </w:p>
    <w:p w14:paraId="7CC79C34" w14:textId="77777777" w:rsidR="00B33126" w:rsidRDefault="00B33126" w:rsidP="00B33126">
      <w:pPr>
        <w:spacing w:line="274" w:lineRule="auto"/>
      </w:pPr>
    </w:p>
    <w:p w14:paraId="23553479" w14:textId="77777777" w:rsidR="00A65ECC" w:rsidRDefault="00A65ECC" w:rsidP="00B33126">
      <w:pPr>
        <w:spacing w:line="274" w:lineRule="auto"/>
      </w:pPr>
    </w:p>
    <w:p w14:paraId="7A44287A" w14:textId="696501B2" w:rsidR="00A65ECC" w:rsidRPr="00A65ECC" w:rsidRDefault="00A65ECC" w:rsidP="00B33126">
      <w:pPr>
        <w:spacing w:line="274" w:lineRule="auto"/>
        <w:rPr>
          <w:b/>
          <w:bCs/>
        </w:rPr>
      </w:pPr>
      <w:r>
        <w:rPr>
          <w:b/>
        </w:rPr>
        <w:lastRenderedPageBreak/>
        <w:t>Moyens de conception pour l’architecture intérieure</w:t>
      </w:r>
    </w:p>
    <w:p w14:paraId="2F1FCFA6" w14:textId="77777777" w:rsidR="00320096" w:rsidRDefault="00320096" w:rsidP="00B33126">
      <w:pPr>
        <w:spacing w:line="274" w:lineRule="auto"/>
      </w:pPr>
    </w:p>
    <w:p w14:paraId="3595B9F7" w14:textId="6CB2CE59" w:rsidR="00A65ECC" w:rsidRDefault="00920980" w:rsidP="00B33126">
      <w:pPr>
        <w:spacing w:line="274" w:lineRule="auto"/>
      </w:pPr>
      <w:r>
        <w:t xml:space="preserve">Les systèmes rendent possibles des solutions individuelles qui révèlent tout leur potentiel, en particulier sur les petites surfaces à utiliser de manière économique et multifonctionnelle. Les espaces de travail et de rangement s’ouvrent uniquement si nécessaire. Sinon ils disparaissent en un tournemain derrière des façades affleurantes aux lignes discrètes bien définies.  Il en résulte des transitions fluides, des espaces de rangement intelligents et organisés et des possibilités innovantes de garder les affaires bien en ordre sans effort. </w:t>
      </w:r>
    </w:p>
    <w:p w14:paraId="6B01CE8B" w14:textId="77777777" w:rsidR="002B7B3C" w:rsidRDefault="002B7B3C" w:rsidP="00B33126">
      <w:pPr>
        <w:spacing w:line="274" w:lineRule="auto"/>
      </w:pPr>
    </w:p>
    <w:p w14:paraId="7A2131AC" w14:textId="77777777" w:rsidR="002B7B3C" w:rsidRPr="00AF7E1A" w:rsidRDefault="002B7B3C" w:rsidP="00B33126">
      <w:pPr>
        <w:spacing w:line="274" w:lineRule="auto"/>
        <w:rPr>
          <w:b/>
          <w:bCs/>
        </w:rPr>
      </w:pPr>
      <w:r>
        <w:rPr>
          <w:b/>
        </w:rPr>
        <w:t>Commande intuitive et émotionnelle</w:t>
      </w:r>
    </w:p>
    <w:p w14:paraId="667B8765" w14:textId="77777777" w:rsidR="002B7B3C" w:rsidRDefault="002B7B3C" w:rsidP="00B33126">
      <w:pPr>
        <w:spacing w:line="274" w:lineRule="auto"/>
      </w:pPr>
    </w:p>
    <w:p w14:paraId="315300EB" w14:textId="77777777" w:rsidR="00C05F39" w:rsidRDefault="00C05F39" w:rsidP="00B33126">
      <w:pPr>
        <w:spacing w:line="274" w:lineRule="auto"/>
      </w:pPr>
      <w:r>
        <w:t xml:space="preserve">« Hawa </w:t>
      </w:r>
      <w:proofErr w:type="spellStart"/>
      <w:r>
        <w:t>Folding</w:t>
      </w:r>
      <w:proofErr w:type="spellEnd"/>
      <w:r>
        <w:t xml:space="preserve"> </w:t>
      </w:r>
      <w:proofErr w:type="spellStart"/>
      <w:r>
        <w:t>Concepta</w:t>
      </w:r>
      <w:proofErr w:type="spellEnd"/>
      <w:r>
        <w:t xml:space="preserve"> III » permet ainsi une ouverture et une fermeture à l’aide de quelques points de contact en appliquant aucune force. « Chacun le fera convenablement dès le début », déclare avec assurance Matthias </w:t>
      </w:r>
      <w:proofErr w:type="spellStart"/>
      <w:r>
        <w:t>Rothbrust</w:t>
      </w:r>
      <w:proofErr w:type="spellEnd"/>
      <w:r>
        <w:t xml:space="preserve"> de l’équipe d'innovation Hawa. En effet, la ferrure anticipe et définit le déplacement. </w:t>
      </w:r>
    </w:p>
    <w:p w14:paraId="1C5677A8" w14:textId="77777777" w:rsidR="00C05F39" w:rsidRDefault="00C05F39" w:rsidP="00B33126">
      <w:pPr>
        <w:spacing w:line="274" w:lineRule="auto"/>
      </w:pPr>
    </w:p>
    <w:p w14:paraId="79EBED56" w14:textId="3FFC6DC7" w:rsidR="00C05F39" w:rsidRDefault="00C05F39" w:rsidP="00B33126">
      <w:pPr>
        <w:spacing w:line="274" w:lineRule="auto"/>
      </w:pPr>
      <w:r>
        <w:t>Il est possible de faire pivoter les portes de 90 degrés, de les replier et escamoter complètement sur le côté si la conception le permet.  Le repliement dans cet espace réduit permet d’accéder à l’ensemble de l’intérieur de l’armoire, sans que la porte ne gêne. Celle-ci peut être extraite d’un simple effleurement pour la variante sans poignée ou à l’aide d’une poignée et se refermer pour former une façade discrète qui épouse le mur.</w:t>
      </w:r>
    </w:p>
    <w:p w14:paraId="083F1E37" w14:textId="77777777" w:rsidR="00C05F39" w:rsidRDefault="00C05F39" w:rsidP="00B33126">
      <w:pPr>
        <w:spacing w:line="274" w:lineRule="auto"/>
      </w:pPr>
    </w:p>
    <w:p w14:paraId="04906F78" w14:textId="520C3AA4" w:rsidR="00A65ECC" w:rsidRDefault="002B7B3C" w:rsidP="00B33126">
      <w:pPr>
        <w:spacing w:line="274" w:lineRule="auto"/>
      </w:pPr>
      <w:r>
        <w:t>Un soutien au mouvement ergonomique veille à un déplacement régulier et souple. Des aimants guident les portes sans jeu dans le galandage. Grâce à la fermeture automatique et à l’amortisseur intégré, la commande devient également un moment d’émotion et crée un mouvement doux et silencieux.</w:t>
      </w:r>
    </w:p>
    <w:p w14:paraId="012D713C" w14:textId="77777777" w:rsidR="00B24115" w:rsidRPr="00CF5D5B" w:rsidRDefault="00B24115" w:rsidP="00B33126">
      <w:pPr>
        <w:spacing w:line="274" w:lineRule="auto"/>
      </w:pPr>
    </w:p>
    <w:p w14:paraId="2D55BC5F" w14:textId="1338A50B" w:rsidR="00EA2094" w:rsidRPr="00C05F39" w:rsidRDefault="00920980" w:rsidP="00B33126">
      <w:pPr>
        <w:spacing w:line="274" w:lineRule="auto"/>
        <w:rPr>
          <w:b/>
          <w:bCs/>
        </w:rPr>
      </w:pPr>
      <w:r>
        <w:rPr>
          <w:b/>
        </w:rPr>
        <w:lastRenderedPageBreak/>
        <w:t>Un design de produit reconnu au niveau international</w:t>
      </w:r>
    </w:p>
    <w:p w14:paraId="6F127841" w14:textId="77777777" w:rsidR="00C05F39" w:rsidRDefault="00C05F39" w:rsidP="00B33126">
      <w:pPr>
        <w:spacing w:line="274" w:lineRule="auto"/>
      </w:pPr>
    </w:p>
    <w:p w14:paraId="7A69A87F" w14:textId="7CC152B2" w:rsidR="002811FA" w:rsidRDefault="00236F65" w:rsidP="00B33126">
      <w:pPr>
        <w:spacing w:line="274" w:lineRule="auto"/>
      </w:pPr>
      <w:r>
        <w:t xml:space="preserve">La qualité et le design des produits de la famille « Hawa </w:t>
      </w:r>
      <w:proofErr w:type="spellStart"/>
      <w:r>
        <w:t>Concepta</w:t>
      </w:r>
      <w:proofErr w:type="spellEnd"/>
      <w:r>
        <w:t xml:space="preserve"> III » ont désormais été primés par un jury international qui leur a décerné le « Red Dot </w:t>
      </w:r>
      <w:proofErr w:type="spellStart"/>
      <w:r>
        <w:t>Award</w:t>
      </w:r>
      <w:proofErr w:type="spellEnd"/>
      <w:r>
        <w:t xml:space="preserve"> : design de produit 2024 » dans la catégorie « </w:t>
      </w:r>
      <w:proofErr w:type="spellStart"/>
      <w:r>
        <w:t>Interior</w:t>
      </w:r>
      <w:proofErr w:type="spellEnd"/>
      <w:r>
        <w:t>-Design-</w:t>
      </w:r>
      <w:proofErr w:type="spellStart"/>
      <w:r>
        <w:t>Element</w:t>
      </w:r>
      <w:proofErr w:type="spellEnd"/>
      <w:r>
        <w:t xml:space="preserve"> ». Avec environ 20 000 candidatures par an, le « Red Dot Design </w:t>
      </w:r>
      <w:proofErr w:type="spellStart"/>
      <w:r>
        <w:t>Award</w:t>
      </w:r>
      <w:proofErr w:type="spellEnd"/>
      <w:r>
        <w:t xml:space="preserve"> » est l’un des plus grands concours de design au monde. Depuis 1955, cette distinction est devenue un label d’excellence en matière de design, réputé et reconnu mondialement. Pas plus tard qu’au printemps 2024, Hawa a également reçu la plus haute distinction pour son système de ferrures lors du </w:t>
      </w:r>
      <w:proofErr w:type="spellStart"/>
      <w:r>
        <w:t>Kitchen</w:t>
      </w:r>
      <w:proofErr w:type="spellEnd"/>
      <w:r>
        <w:t xml:space="preserve"> Innovation </w:t>
      </w:r>
      <w:proofErr w:type="spellStart"/>
      <w:r>
        <w:t>Award</w:t>
      </w:r>
      <w:proofErr w:type="spellEnd"/>
      <w:r>
        <w:t xml:space="preserve">. La famille de produits « Hawa </w:t>
      </w:r>
      <w:proofErr w:type="spellStart"/>
      <w:r>
        <w:t>Concepta</w:t>
      </w:r>
      <w:proofErr w:type="spellEnd"/>
      <w:r>
        <w:t xml:space="preserve"> III » a convaincu le jury d’experts ainsi que les consommateurs allemands lors de l’enquête qui a suivi dans les critères également décisifs pour le « Red Dot Design </w:t>
      </w:r>
      <w:proofErr w:type="spellStart"/>
      <w:r>
        <w:t>Award</w:t>
      </w:r>
      <w:proofErr w:type="spellEnd"/>
      <w:r>
        <w:t xml:space="preserve"> », à savoir la fonctionnalité, le confort d’utilisation, le degré d’innovation, l’utilité de produit et le design.  </w:t>
      </w:r>
    </w:p>
    <w:p w14:paraId="405D05E0" w14:textId="77777777" w:rsidR="007D05F4" w:rsidRDefault="007D05F4" w:rsidP="00B33126">
      <w:pPr>
        <w:spacing w:line="274" w:lineRule="auto"/>
      </w:pPr>
    </w:p>
    <w:p w14:paraId="5173A5CC" w14:textId="77777777" w:rsidR="007D05F4" w:rsidRDefault="007D05F4" w:rsidP="00B33126">
      <w:pPr>
        <w:spacing w:line="274" w:lineRule="auto"/>
      </w:pPr>
    </w:p>
    <w:p w14:paraId="5A8252F1" w14:textId="3EC1E1B4" w:rsidR="007D05F4" w:rsidRDefault="007D05F4" w:rsidP="00C33A72">
      <w:r>
        <w:t xml:space="preserve">Légende : Meuble de séparation ou cuisine linéaire ? Pour transformer les murs en meubles, il suffit de les faire coulisser grâce aux ferrures d'escamotage à coulissement-pivotement et à coulissement-repliement de la famille « Hawa </w:t>
      </w:r>
      <w:proofErr w:type="spellStart"/>
      <w:r>
        <w:t>Concepta</w:t>
      </w:r>
      <w:proofErr w:type="spellEnd"/>
      <w:r>
        <w:t xml:space="preserve"> III ». Les portes ne gênent plus et sont rangées sans encombrement dans un galandage latéral. Photos : Hawa </w:t>
      </w:r>
      <w:proofErr w:type="spellStart"/>
      <w:r>
        <w:t>Sliding</w:t>
      </w:r>
      <w:proofErr w:type="spellEnd"/>
      <w:r>
        <w:t xml:space="preserve"> Solutions AG</w:t>
      </w:r>
    </w:p>
    <w:p w14:paraId="0E536D6F" w14:textId="77777777" w:rsidR="00C33A72" w:rsidRDefault="00C33A72" w:rsidP="00C33A72"/>
    <w:p w14:paraId="7951214E" w14:textId="77777777" w:rsidR="00C33A72" w:rsidRDefault="00C33A72" w:rsidP="00C33A72"/>
    <w:p w14:paraId="6127C846" w14:textId="77777777" w:rsidR="00C33A72" w:rsidRDefault="00C33A72" w:rsidP="00C33A72"/>
    <w:sectPr w:rsidR="00C33A72" w:rsidSect="00DD0F27">
      <w:headerReference w:type="default" r:id="rId6"/>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C2F1F5" w14:textId="77777777" w:rsidR="00F41BEF" w:rsidRDefault="00F41BEF" w:rsidP="00B33126">
      <w:r>
        <w:separator/>
      </w:r>
    </w:p>
  </w:endnote>
  <w:endnote w:type="continuationSeparator" w:id="0">
    <w:p w14:paraId="53A16129" w14:textId="77777777" w:rsidR="00F41BEF" w:rsidRDefault="00F41BEF" w:rsidP="00B3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0FEE0A" w14:textId="77777777" w:rsidR="00F41BEF" w:rsidRDefault="00F41BEF" w:rsidP="00B33126">
      <w:r>
        <w:separator/>
      </w:r>
    </w:p>
  </w:footnote>
  <w:footnote w:type="continuationSeparator" w:id="0">
    <w:p w14:paraId="699A916B" w14:textId="77777777" w:rsidR="00F41BEF" w:rsidRDefault="00F41BEF" w:rsidP="00B33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E72B72" w14:textId="425CA606" w:rsidR="00B33126" w:rsidRPr="00B33126" w:rsidRDefault="00B33126" w:rsidP="00B33126">
    <w:pPr>
      <w:pStyle w:val="Kopfzeile"/>
      <w:jc w:val="right"/>
      <w:rPr>
        <w:sz w:val="20"/>
        <w:szCs w:val="20"/>
      </w:rPr>
    </w:pPr>
    <w:r w:rsidRPr="00B33126">
      <w:rPr>
        <w:sz w:val="20"/>
        <w:szCs w:val="20"/>
      </w:rPr>
      <w:t>N° PR 10028-0022-05/2024</w:t>
    </w:r>
  </w:p>
  <w:p w14:paraId="0E7A7BAD" w14:textId="77777777" w:rsidR="00B33126" w:rsidRPr="00B33126" w:rsidRDefault="00B33126" w:rsidP="00B33126">
    <w:pPr>
      <w:pStyle w:val="Kopfzeile"/>
      <w:jc w:val="right"/>
      <w:rPr>
        <w:sz w:val="20"/>
        <w:szCs w:val="20"/>
      </w:rPr>
    </w:pPr>
    <w:r w:rsidRPr="00B33126">
      <w:rPr>
        <w:sz w:val="20"/>
        <w:szCs w:val="20"/>
      </w:rPr>
      <w:t>Faible encombrement et facile à coulisser</w:t>
    </w:r>
  </w:p>
  <w:p w14:paraId="5810F2C9" w14:textId="7154E9C9" w:rsidR="00B33126" w:rsidRPr="00B33126" w:rsidRDefault="00B33126" w:rsidP="00B33126">
    <w:pPr>
      <w:pStyle w:val="Kopfzeile"/>
      <w:jc w:val="right"/>
      <w:rPr>
        <w:sz w:val="20"/>
        <w:szCs w:val="20"/>
      </w:rPr>
    </w:pPr>
    <w:r w:rsidRPr="00B33126">
      <w:rPr>
        <w:sz w:val="20"/>
        <w:szCs w:val="20"/>
      </w:rPr>
      <w:t>Lorsque la paroi devient meuble ...</w:t>
    </w:r>
    <w:r>
      <w:rPr>
        <w:sz w:val="20"/>
        <w:szCs w:val="20"/>
      </w:rPr>
      <w:t xml:space="preserve"> – page </w:t>
    </w:r>
    <w:r w:rsidRPr="00B33126">
      <w:rPr>
        <w:sz w:val="20"/>
        <w:szCs w:val="20"/>
      </w:rPr>
      <w:fldChar w:fldCharType="begin"/>
    </w:r>
    <w:r w:rsidRPr="00B33126">
      <w:rPr>
        <w:sz w:val="20"/>
        <w:szCs w:val="20"/>
      </w:rPr>
      <w:instrText>PAGE   \* MERGEFORMAT</w:instrText>
    </w:r>
    <w:r w:rsidRPr="00B33126">
      <w:rPr>
        <w:sz w:val="20"/>
        <w:szCs w:val="20"/>
      </w:rPr>
      <w:fldChar w:fldCharType="separate"/>
    </w:r>
    <w:r w:rsidRPr="00B33126">
      <w:rPr>
        <w:sz w:val="20"/>
        <w:szCs w:val="20"/>
        <w:lang w:val="en-GB"/>
      </w:rPr>
      <w:t>1</w:t>
    </w:r>
    <w:r w:rsidRPr="00B33126">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094"/>
    <w:rsid w:val="000A2F88"/>
    <w:rsid w:val="00143821"/>
    <w:rsid w:val="001B4041"/>
    <w:rsid w:val="00236F65"/>
    <w:rsid w:val="0027081D"/>
    <w:rsid w:val="002811FA"/>
    <w:rsid w:val="002B7B3C"/>
    <w:rsid w:val="00320096"/>
    <w:rsid w:val="00370CF1"/>
    <w:rsid w:val="00400A9F"/>
    <w:rsid w:val="00440AFB"/>
    <w:rsid w:val="0044661B"/>
    <w:rsid w:val="00462995"/>
    <w:rsid w:val="00484158"/>
    <w:rsid w:val="005808C6"/>
    <w:rsid w:val="00587703"/>
    <w:rsid w:val="0061217D"/>
    <w:rsid w:val="00685CEC"/>
    <w:rsid w:val="006F25F5"/>
    <w:rsid w:val="00707A20"/>
    <w:rsid w:val="007B2628"/>
    <w:rsid w:val="007D05F4"/>
    <w:rsid w:val="007D0A6C"/>
    <w:rsid w:val="007D648F"/>
    <w:rsid w:val="00803651"/>
    <w:rsid w:val="008432C3"/>
    <w:rsid w:val="00852DCE"/>
    <w:rsid w:val="00865DCD"/>
    <w:rsid w:val="00885427"/>
    <w:rsid w:val="00885BE3"/>
    <w:rsid w:val="008A042E"/>
    <w:rsid w:val="008D077A"/>
    <w:rsid w:val="008F57C5"/>
    <w:rsid w:val="00920980"/>
    <w:rsid w:val="00977533"/>
    <w:rsid w:val="00A31A58"/>
    <w:rsid w:val="00A65ECC"/>
    <w:rsid w:val="00A67EA3"/>
    <w:rsid w:val="00AF7E1A"/>
    <w:rsid w:val="00B24115"/>
    <w:rsid w:val="00B33126"/>
    <w:rsid w:val="00B73F0B"/>
    <w:rsid w:val="00B75549"/>
    <w:rsid w:val="00B81025"/>
    <w:rsid w:val="00BC18B9"/>
    <w:rsid w:val="00BE0223"/>
    <w:rsid w:val="00C05F39"/>
    <w:rsid w:val="00C33A72"/>
    <w:rsid w:val="00C82C9F"/>
    <w:rsid w:val="00CF5D5B"/>
    <w:rsid w:val="00D20321"/>
    <w:rsid w:val="00DD0F27"/>
    <w:rsid w:val="00DE4BDD"/>
    <w:rsid w:val="00E52293"/>
    <w:rsid w:val="00EA2094"/>
    <w:rsid w:val="00F41BEF"/>
    <w:rsid w:val="00F43FDB"/>
    <w:rsid w:val="00F45F9B"/>
    <w:rsid w:val="00F7170B"/>
    <w:rsid w:val="00F929B4"/>
    <w:rsid w:val="00FA71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6BA53"/>
  <w15:chartTrackingRefBased/>
  <w15:docId w15:val="{F9B57762-9151-4A98-B7BC-9E83BD494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A209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EA209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EA2094"/>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EA2094"/>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EA2094"/>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EA2094"/>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EA2094"/>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EA2094"/>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EA2094"/>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A2094"/>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EA2094"/>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EA2094"/>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EA2094"/>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EA2094"/>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EA2094"/>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EA2094"/>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EA2094"/>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EA2094"/>
    <w:rPr>
      <w:rFonts w:eastAsiaTheme="majorEastAsia" w:cstheme="majorBidi"/>
      <w:color w:val="272727" w:themeColor="text1" w:themeTint="D8"/>
    </w:rPr>
  </w:style>
  <w:style w:type="paragraph" w:styleId="Titel">
    <w:name w:val="Title"/>
    <w:basedOn w:val="Standard"/>
    <w:next w:val="Standard"/>
    <w:link w:val="TitelZchn"/>
    <w:uiPriority w:val="10"/>
    <w:qFormat/>
    <w:rsid w:val="00EA2094"/>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A2094"/>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EA2094"/>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EA2094"/>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EA2094"/>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EA2094"/>
    <w:rPr>
      <w:i/>
      <w:iCs/>
      <w:color w:val="404040" w:themeColor="text1" w:themeTint="BF"/>
    </w:rPr>
  </w:style>
  <w:style w:type="paragraph" w:styleId="Listenabsatz">
    <w:name w:val="List Paragraph"/>
    <w:basedOn w:val="Standard"/>
    <w:uiPriority w:val="34"/>
    <w:qFormat/>
    <w:rsid w:val="00EA2094"/>
    <w:pPr>
      <w:ind w:left="720"/>
      <w:contextualSpacing/>
    </w:pPr>
  </w:style>
  <w:style w:type="character" w:styleId="IntensiveHervorhebung">
    <w:name w:val="Intense Emphasis"/>
    <w:basedOn w:val="Absatz-Standardschriftart"/>
    <w:uiPriority w:val="21"/>
    <w:qFormat/>
    <w:rsid w:val="00EA2094"/>
    <w:rPr>
      <w:i/>
      <w:iCs/>
      <w:color w:val="0F4761" w:themeColor="accent1" w:themeShade="BF"/>
    </w:rPr>
  </w:style>
  <w:style w:type="paragraph" w:styleId="IntensivesZitat">
    <w:name w:val="Intense Quote"/>
    <w:basedOn w:val="Standard"/>
    <w:next w:val="Standard"/>
    <w:link w:val="IntensivesZitatZchn"/>
    <w:uiPriority w:val="30"/>
    <w:qFormat/>
    <w:rsid w:val="00EA209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EA2094"/>
    <w:rPr>
      <w:i/>
      <w:iCs/>
      <w:color w:val="0F4761" w:themeColor="accent1" w:themeShade="BF"/>
    </w:rPr>
  </w:style>
  <w:style w:type="character" w:styleId="IntensiverVerweis">
    <w:name w:val="Intense Reference"/>
    <w:basedOn w:val="Absatz-Standardschriftart"/>
    <w:uiPriority w:val="32"/>
    <w:qFormat/>
    <w:rsid w:val="00EA2094"/>
    <w:rPr>
      <w:b/>
      <w:bCs/>
      <w:smallCaps/>
      <w:color w:val="0F4761" w:themeColor="accent1" w:themeShade="BF"/>
      <w:spacing w:val="5"/>
    </w:rPr>
  </w:style>
  <w:style w:type="paragraph" w:styleId="Kopfzeile">
    <w:name w:val="header"/>
    <w:basedOn w:val="Standard"/>
    <w:link w:val="KopfzeileZchn"/>
    <w:uiPriority w:val="99"/>
    <w:unhideWhenUsed/>
    <w:rsid w:val="00B33126"/>
    <w:pPr>
      <w:tabs>
        <w:tab w:val="center" w:pos="4536"/>
        <w:tab w:val="right" w:pos="9072"/>
      </w:tabs>
    </w:pPr>
  </w:style>
  <w:style w:type="character" w:customStyle="1" w:styleId="KopfzeileZchn">
    <w:name w:val="Kopfzeile Zchn"/>
    <w:basedOn w:val="Absatz-Standardschriftart"/>
    <w:link w:val="Kopfzeile"/>
    <w:uiPriority w:val="99"/>
    <w:rsid w:val="00B33126"/>
  </w:style>
  <w:style w:type="paragraph" w:styleId="Fuzeile">
    <w:name w:val="footer"/>
    <w:basedOn w:val="Standard"/>
    <w:link w:val="FuzeileZchn"/>
    <w:uiPriority w:val="99"/>
    <w:unhideWhenUsed/>
    <w:rsid w:val="00B33126"/>
    <w:pPr>
      <w:tabs>
        <w:tab w:val="center" w:pos="4536"/>
        <w:tab w:val="right" w:pos="9072"/>
      </w:tabs>
    </w:pPr>
  </w:style>
  <w:style w:type="character" w:customStyle="1" w:styleId="FuzeileZchn">
    <w:name w:val="Fußzeile Zchn"/>
    <w:basedOn w:val="Absatz-Standardschriftart"/>
    <w:link w:val="Fuzeile"/>
    <w:uiPriority w:val="99"/>
    <w:rsid w:val="00B33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4119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2</cp:revision>
  <cp:lastPrinted>2024-05-23T09:09:00Z</cp:lastPrinted>
  <dcterms:created xsi:type="dcterms:W3CDTF">2024-05-28T15:25:00Z</dcterms:created>
  <dcterms:modified xsi:type="dcterms:W3CDTF">2024-05-28T15:25:00Z</dcterms:modified>
</cp:coreProperties>
</file>