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535A88" w14:textId="5942EEF9" w:rsidR="00E6472C" w:rsidRPr="00E6472C" w:rsidRDefault="00E6472C">
      <w:pPr>
        <w:rPr>
          <w:rFonts w:ascii="Calibri" w:hAnsi="Calibri" w:cs="Calibri"/>
          <w:sz w:val="20"/>
          <w:szCs w:val="20"/>
        </w:rPr>
      </w:pPr>
      <w:r w:rsidRPr="00E6472C">
        <w:rPr>
          <w:rFonts w:ascii="Calibri" w:hAnsi="Calibri" w:cs="Calibri"/>
          <w:sz w:val="20"/>
          <w:szCs w:val="20"/>
        </w:rPr>
        <w:t>PR no. 10028-0027-03/2025</w:t>
      </w:r>
    </w:p>
    <w:p w14:paraId="3D32CB86" w14:textId="77777777" w:rsidR="00E6472C" w:rsidRPr="00E6472C" w:rsidRDefault="00E6472C">
      <w:pPr>
        <w:rPr>
          <w:rFonts w:ascii="Calibri" w:hAnsi="Calibri" w:cs="Calibri"/>
        </w:rPr>
      </w:pPr>
    </w:p>
    <w:p w14:paraId="47B80D2C" w14:textId="36C4F68A" w:rsidR="00A314D4" w:rsidRPr="00E6472C" w:rsidRDefault="00A314D4">
      <w:pPr>
        <w:rPr>
          <w:rFonts w:ascii="Calibri" w:hAnsi="Calibri" w:cs="Calibri"/>
          <w:b/>
          <w:bCs/>
          <w:sz w:val="28"/>
          <w:szCs w:val="28"/>
        </w:rPr>
      </w:pPr>
      <w:r w:rsidRPr="00E6472C">
        <w:rPr>
          <w:rFonts w:ascii="Calibri" w:hAnsi="Calibri" w:cs="Calibri"/>
          <w:b/>
          <w:sz w:val="28"/>
        </w:rPr>
        <w:t>Artisan du silence &amp; spécialiste de la transformation</w:t>
      </w:r>
    </w:p>
    <w:p w14:paraId="198C3480" w14:textId="290F7588" w:rsidR="00A314D4" w:rsidRPr="00E6472C" w:rsidRDefault="00A314D4">
      <w:pPr>
        <w:rPr>
          <w:rFonts w:ascii="Calibri" w:hAnsi="Calibri" w:cs="Calibri"/>
          <w:b/>
          <w:bCs/>
        </w:rPr>
      </w:pPr>
      <w:r w:rsidRPr="00E6472C">
        <w:rPr>
          <w:rFonts w:ascii="Calibri" w:hAnsi="Calibri" w:cs="Calibri"/>
          <w:b/>
        </w:rPr>
        <w:t>L’entreprise suisse Hawa Sliding Solutions AG au salon Interzum 2025</w:t>
      </w:r>
    </w:p>
    <w:p w14:paraId="1B1514B6" w14:textId="77777777" w:rsidR="002054E7" w:rsidRPr="00E6472C" w:rsidRDefault="002054E7">
      <w:pPr>
        <w:rPr>
          <w:rFonts w:ascii="Calibri" w:hAnsi="Calibri" w:cs="Calibri"/>
          <w:b/>
          <w:bCs/>
        </w:rPr>
      </w:pPr>
    </w:p>
    <w:p w14:paraId="6CED9B9D" w14:textId="6DA23E5D" w:rsidR="00B40C56" w:rsidRPr="00E6472C" w:rsidRDefault="00B40C56" w:rsidP="00E6472C">
      <w:pPr>
        <w:spacing w:line="274" w:lineRule="auto"/>
        <w:rPr>
          <w:rFonts w:ascii="Calibri" w:hAnsi="Calibri" w:cs="Calibri"/>
          <w:b/>
          <w:bCs/>
        </w:rPr>
      </w:pPr>
      <w:r w:rsidRPr="00E6472C">
        <w:rPr>
          <w:rFonts w:ascii="Calibri" w:hAnsi="Calibri" w:cs="Calibri"/>
          <w:b/>
        </w:rPr>
        <w:t>Ce qui plaide en faveur du coulissement est avant tout le gain de place, car – que ce soit pour le meuble ou l’aménagement intérieur – les portes et les façades ouvertes ne gênent tout simplement pas. Sur le stand C038 du Hall 7.1 du salon Interzum, qui se tiendra du 20 au 23 mai 2025 à Cologne, Hawa présentera aux fabricants de meubles et aux spécialistes de l’aménagement intérieur des arguments supplémentaires en faveur des solutions coulissantes. C'est la diversité des variantes et l’assistance efficace à la mise en œuvre des nouvelles ferrures d’escamotage à coulissement-pivotement et à coulissement-repliement pour façades de meubles modulables qui font la différence. Dans l’aménagement intérieur, les solutions pour portes coulissantes à isolation phonique offrent indéniablement une meilleure qualité de vie.</w:t>
      </w:r>
    </w:p>
    <w:p w14:paraId="7A73F321" w14:textId="77777777" w:rsidR="00B40C56" w:rsidRPr="00E6472C" w:rsidRDefault="00B40C56" w:rsidP="00E6472C">
      <w:pPr>
        <w:spacing w:line="274" w:lineRule="auto"/>
        <w:rPr>
          <w:rFonts w:ascii="Calibri" w:hAnsi="Calibri" w:cs="Calibri"/>
          <w:b/>
          <w:bCs/>
        </w:rPr>
      </w:pPr>
    </w:p>
    <w:p w14:paraId="2EC01AAE" w14:textId="13C9B34E" w:rsidR="00CB1D25" w:rsidRPr="00E6472C" w:rsidRDefault="002054E7" w:rsidP="00E6472C">
      <w:pPr>
        <w:spacing w:line="274" w:lineRule="auto"/>
        <w:rPr>
          <w:rFonts w:ascii="Calibri" w:hAnsi="Calibri" w:cs="Calibri"/>
        </w:rPr>
      </w:pPr>
      <w:r w:rsidRPr="00E6472C">
        <w:rPr>
          <w:rFonts w:ascii="Calibri" w:hAnsi="Calibri" w:cs="Calibri"/>
        </w:rPr>
        <w:t xml:space="preserve">Les façades de meubles modulables sont à la mode. Pour leur pose, Hawa a développé la famille de ferrures « Hawa Concepta III ». </w:t>
      </w:r>
      <w:r w:rsidR="009334DA" w:rsidRPr="00E6472C">
        <w:rPr>
          <w:rFonts w:ascii="Calibri" w:hAnsi="Calibri" w:cs="Calibri"/>
        </w:rPr>
        <w:t>La dernière génération de ferrures d’escamotage à coulissement-pivotement et à coulissement-repliement fonctionne selon une séquence de mouvements bien étudiée : pivoter, replier, insérer latéralement et faire disparaître de manière peu encombrante, sortir par un léger effleurement et fermer intuitivement pour former une façade de meuble affleurante.</w:t>
      </w:r>
    </w:p>
    <w:p w14:paraId="533F5ABF" w14:textId="77777777" w:rsidR="00CB1D25" w:rsidRPr="00E6472C" w:rsidRDefault="00CB1D25" w:rsidP="00E6472C">
      <w:pPr>
        <w:spacing w:line="274" w:lineRule="auto"/>
        <w:rPr>
          <w:rFonts w:ascii="Calibri" w:hAnsi="Calibri" w:cs="Calibri"/>
        </w:rPr>
      </w:pPr>
    </w:p>
    <w:p w14:paraId="657BD925" w14:textId="4F9CA53B" w:rsidR="005D190C" w:rsidRPr="00E6472C" w:rsidRDefault="00583171" w:rsidP="00E6472C">
      <w:pPr>
        <w:spacing w:line="274" w:lineRule="auto"/>
        <w:rPr>
          <w:rFonts w:ascii="Calibri" w:hAnsi="Calibri" w:cs="Calibri"/>
        </w:rPr>
      </w:pPr>
      <w:r w:rsidRPr="00E6472C">
        <w:rPr>
          <w:rFonts w:ascii="Calibri" w:hAnsi="Calibri" w:cs="Calibri"/>
        </w:rPr>
        <w:t xml:space="preserve">Ayant réuni des séquences de mouvements aussi complexes en un seul système de ferrures pour la conception variée de façades de meubles, Hawa les mettra en avant au salon Interzum. « Hawa Concepta III » et « Hawa Folding Concepta III » permettent de créer des solutions à une, deux ou plusieurs portes, indépendamment de la hauteur et de la largeur de la porte, avec ou sans paroi médiane, à hauteur de pièce et accessibles ou pour une armoire superposée, en tant que solution Pull </w:t>
      </w:r>
      <w:r w:rsidRPr="00E6472C">
        <w:rPr>
          <w:rFonts w:ascii="Calibri" w:hAnsi="Calibri" w:cs="Calibri"/>
        </w:rPr>
        <w:lastRenderedPageBreak/>
        <w:t>avec poignée ou en tant que solution Push sans poignée, encastrée ou en applique.</w:t>
      </w:r>
    </w:p>
    <w:p w14:paraId="62C2E7A4" w14:textId="77777777" w:rsidR="00824502" w:rsidRPr="00E6472C" w:rsidRDefault="00824502" w:rsidP="00E6472C">
      <w:pPr>
        <w:spacing w:line="274" w:lineRule="auto"/>
        <w:rPr>
          <w:rFonts w:ascii="Calibri" w:hAnsi="Calibri" w:cs="Calibri"/>
        </w:rPr>
      </w:pPr>
    </w:p>
    <w:p w14:paraId="0F098BB9" w14:textId="6923A724" w:rsidR="0078686B" w:rsidRPr="00E6472C" w:rsidRDefault="006A7FBA" w:rsidP="00E6472C">
      <w:pPr>
        <w:spacing w:line="274" w:lineRule="auto"/>
        <w:rPr>
          <w:rFonts w:ascii="Calibri" w:hAnsi="Calibri" w:cs="Calibri"/>
        </w:rPr>
      </w:pPr>
      <w:r w:rsidRPr="00E6472C">
        <w:rPr>
          <w:rFonts w:ascii="Calibri" w:hAnsi="Calibri" w:cs="Calibri"/>
        </w:rPr>
        <w:t xml:space="preserve">Les ébénistes-menuisiers seront intéressés par la facilité de montage des ferrures de la famille « Hawa Concepta III ». Leur haut degré de prémontage le permet. Au salon Interzum, Hawa montrera en direct à quel point le montage des trois composants et des 15 vis est </w:t>
      </w:r>
      <w:r w:rsidR="00E6472C" w:rsidRPr="00E6472C">
        <w:rPr>
          <w:rFonts w:ascii="Calibri" w:hAnsi="Calibri" w:cs="Calibri"/>
        </w:rPr>
        <w:t>rapide et intuiti</w:t>
      </w:r>
      <w:r w:rsidR="00E63380">
        <w:rPr>
          <w:rFonts w:ascii="Calibri" w:hAnsi="Calibri" w:cs="Calibri"/>
        </w:rPr>
        <w:t>f</w:t>
      </w:r>
      <w:r w:rsidRPr="00E6472C">
        <w:rPr>
          <w:rFonts w:ascii="Calibri" w:hAnsi="Calibri" w:cs="Calibri"/>
        </w:rPr>
        <w:t>, et comment les points de réglage judicieusement positionnés et facilement accessibles simplifient l’ajustement.</w:t>
      </w:r>
    </w:p>
    <w:p w14:paraId="208D38C7" w14:textId="77777777" w:rsidR="00AA3264" w:rsidRPr="00E6472C" w:rsidRDefault="00AA3264" w:rsidP="00E6472C">
      <w:pPr>
        <w:spacing w:line="274" w:lineRule="auto"/>
        <w:rPr>
          <w:rFonts w:ascii="Calibri" w:hAnsi="Calibri" w:cs="Calibri"/>
        </w:rPr>
      </w:pPr>
    </w:p>
    <w:p w14:paraId="66C6AFDE" w14:textId="3B83F3AC" w:rsidR="00AA3264" w:rsidRPr="00E6472C" w:rsidRDefault="00AA3264" w:rsidP="00E6472C">
      <w:pPr>
        <w:spacing w:line="274" w:lineRule="auto"/>
        <w:rPr>
          <w:rFonts w:ascii="Calibri" w:hAnsi="Calibri" w:cs="Calibri"/>
          <w:b/>
          <w:bCs/>
        </w:rPr>
      </w:pPr>
      <w:r w:rsidRPr="00E6472C">
        <w:rPr>
          <w:rFonts w:ascii="Calibri" w:hAnsi="Calibri" w:cs="Calibri"/>
          <w:b/>
        </w:rPr>
        <w:t>« Car la tranquillité est un luxe »</w:t>
      </w:r>
    </w:p>
    <w:p w14:paraId="25E22CD3" w14:textId="77777777" w:rsidR="00AA3264" w:rsidRPr="00E6472C" w:rsidRDefault="00AA3264" w:rsidP="00E6472C">
      <w:pPr>
        <w:spacing w:line="274" w:lineRule="auto"/>
        <w:rPr>
          <w:rFonts w:ascii="Calibri" w:hAnsi="Calibri" w:cs="Calibri"/>
        </w:rPr>
      </w:pPr>
    </w:p>
    <w:p w14:paraId="6F5F3523" w14:textId="42A4936B" w:rsidR="00E33DBA" w:rsidRPr="00E6472C" w:rsidRDefault="00483953" w:rsidP="00E6472C">
      <w:pPr>
        <w:spacing w:line="274" w:lineRule="auto"/>
        <w:rPr>
          <w:rFonts w:ascii="Calibri" w:hAnsi="Calibri" w:cs="Calibri"/>
        </w:rPr>
      </w:pPr>
      <w:r w:rsidRPr="00E6472C">
        <w:rPr>
          <w:rFonts w:ascii="Calibri" w:hAnsi="Calibri" w:cs="Calibri"/>
        </w:rPr>
        <w:t xml:space="preserve">En matière d’aménagement intérieur, le spécialiste suisse des ferrures consacre une campagne « Privacy » aux situations stressantes souvent inconscientes du quotidien, auxquelles presque personne n’échappe : le bruit en fait partie tout comme les odeurs désagréables, voire déplaisantes, et les courants d’air, mais aussi la lumière trop intense ou trop vive. La tranquillité est devenue un luxe. Grâce à ses solutions coulissantes à isolation phonique, Hawa permet aux architectes d'intérieur de créer des lieux de repos et de bien-être individuels, qui peuvent être utilisés de manière flexible lorsque la situation personnelle de l’utilisateur l’exige. Le coulissement à faible encombrement peut ainsi être associé dès maintenant à des caractéristiques de confort convaincantes. </w:t>
      </w:r>
    </w:p>
    <w:p w14:paraId="35923FF3" w14:textId="77777777" w:rsidR="004B3C81" w:rsidRPr="00E6472C" w:rsidRDefault="004B3C81" w:rsidP="00E6472C">
      <w:pPr>
        <w:spacing w:line="274" w:lineRule="auto"/>
        <w:rPr>
          <w:rFonts w:ascii="Calibri" w:hAnsi="Calibri" w:cs="Calibri"/>
        </w:rPr>
      </w:pPr>
    </w:p>
    <w:p w14:paraId="51D364B2" w14:textId="77777777" w:rsidR="004B3C81" w:rsidRPr="00E6472C" w:rsidRDefault="004B3C81" w:rsidP="00E6472C">
      <w:pPr>
        <w:spacing w:line="274" w:lineRule="auto"/>
        <w:rPr>
          <w:rFonts w:ascii="Calibri" w:hAnsi="Calibri" w:cs="Calibri"/>
        </w:rPr>
      </w:pPr>
    </w:p>
    <w:p w14:paraId="4307CEB5" w14:textId="014044BB" w:rsidR="004B3C81" w:rsidRPr="00E6472C" w:rsidRDefault="004B3C81" w:rsidP="004B3C81">
      <w:pPr>
        <w:rPr>
          <w:rFonts w:ascii="Calibri" w:hAnsi="Calibri" w:cs="Calibri"/>
        </w:rPr>
      </w:pPr>
      <w:r w:rsidRPr="00E6472C">
        <w:rPr>
          <w:rFonts w:ascii="Calibri" w:hAnsi="Calibri" w:cs="Calibri"/>
        </w:rPr>
        <w:t>Légende</w:t>
      </w:r>
      <w:r w:rsidR="00E6472C" w:rsidRPr="00E6472C">
        <w:rPr>
          <w:rFonts w:ascii="Calibri" w:hAnsi="Calibri" w:cs="Calibri"/>
          <w:b/>
        </w:rPr>
        <w:t xml:space="preserve"> </w:t>
      </w:r>
      <w:r w:rsidRPr="00E6472C">
        <w:rPr>
          <w:rFonts w:ascii="Calibri" w:hAnsi="Calibri" w:cs="Calibri"/>
        </w:rPr>
        <w:t xml:space="preserve">: Grâce à « Hawa Folding Concepta III », l’ouverture et la fermeture ont lieu sans effort via quelques points de contact. Le repliement dans cet espace réduit permet d’accéder à l’ensemble de l’intérieur de l’armoire, sans que la porte ne gêne. Celle-ci se referme tout aussi intuitivement en une façade épurée </w:t>
      </w:r>
      <w:r w:rsidR="00560CE8" w:rsidRPr="00E6472C">
        <w:rPr>
          <w:rFonts w:ascii="Calibri" w:hAnsi="Calibri" w:cs="Calibri"/>
        </w:rPr>
        <w:t>qui se confond avec le mur</w:t>
      </w:r>
      <w:r w:rsidRPr="00E6472C">
        <w:rPr>
          <w:rFonts w:ascii="Calibri" w:hAnsi="Calibri" w:cs="Calibri"/>
        </w:rPr>
        <w:t>. Photo : Hawa Sliding Solutions AG</w:t>
      </w:r>
    </w:p>
    <w:p w14:paraId="437050A2" w14:textId="77777777" w:rsidR="00AA3264" w:rsidRPr="004B3C81" w:rsidRDefault="00AA3264"/>
    <w:p w14:paraId="084F6BBA" w14:textId="77777777" w:rsidR="00AA3264" w:rsidRPr="004B3C81" w:rsidRDefault="00AA3264"/>
    <w:sectPr w:rsidR="00AA3264" w:rsidRPr="004B3C81" w:rsidSect="00DD0F27">
      <w:headerReference w:type="default" r:id="rId7"/>
      <w:pgSz w:w="11906" w:h="16838" w:code="9"/>
      <w:pgMar w:top="2835" w:right="3402" w:bottom="226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3C3E60" w14:textId="77777777" w:rsidR="00187457" w:rsidRDefault="00187457" w:rsidP="003858D1">
      <w:r>
        <w:separator/>
      </w:r>
    </w:p>
  </w:endnote>
  <w:endnote w:type="continuationSeparator" w:id="0">
    <w:p w14:paraId="27076122" w14:textId="77777777" w:rsidR="00187457" w:rsidRDefault="00187457" w:rsidP="003858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DengXian Light">
    <w:altName w:val="等线 Light"/>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79772E" w14:textId="77777777" w:rsidR="00187457" w:rsidRDefault="00187457" w:rsidP="003858D1">
      <w:r>
        <w:separator/>
      </w:r>
    </w:p>
  </w:footnote>
  <w:footnote w:type="continuationSeparator" w:id="0">
    <w:p w14:paraId="2E23E84D" w14:textId="77777777" w:rsidR="00187457" w:rsidRDefault="00187457" w:rsidP="003858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552A74" w14:textId="29250245" w:rsidR="003858D1" w:rsidRPr="003858D1" w:rsidRDefault="003858D1" w:rsidP="003858D1">
    <w:pPr>
      <w:pStyle w:val="Kopfzeile"/>
      <w:jc w:val="right"/>
      <w:rPr>
        <w:rFonts w:ascii="Calibri" w:hAnsi="Calibri" w:cs="Calibri"/>
        <w:sz w:val="20"/>
        <w:szCs w:val="20"/>
      </w:rPr>
    </w:pPr>
    <w:r w:rsidRPr="003858D1">
      <w:rPr>
        <w:rFonts w:ascii="Calibri" w:hAnsi="Calibri" w:cs="Calibri"/>
        <w:sz w:val="20"/>
        <w:szCs w:val="20"/>
      </w:rPr>
      <w:t>PR no. 10028-0027-03/2025</w:t>
    </w:r>
  </w:p>
  <w:p w14:paraId="3F4A900A" w14:textId="77777777" w:rsidR="003858D1" w:rsidRPr="003858D1" w:rsidRDefault="003858D1" w:rsidP="003858D1">
    <w:pPr>
      <w:pStyle w:val="Kopfzeile"/>
      <w:jc w:val="right"/>
      <w:rPr>
        <w:rFonts w:ascii="Calibri" w:hAnsi="Calibri" w:cs="Calibri"/>
        <w:sz w:val="20"/>
        <w:szCs w:val="20"/>
      </w:rPr>
    </w:pPr>
    <w:r w:rsidRPr="003858D1">
      <w:rPr>
        <w:rFonts w:ascii="Calibri" w:hAnsi="Calibri" w:cs="Calibri"/>
        <w:sz w:val="20"/>
        <w:szCs w:val="20"/>
      </w:rPr>
      <w:t>Artisan du silence &amp; spécialiste de la transformation</w:t>
    </w:r>
  </w:p>
  <w:p w14:paraId="0C48B277" w14:textId="693941DC" w:rsidR="003858D1" w:rsidRPr="003858D1" w:rsidRDefault="003858D1" w:rsidP="003858D1">
    <w:pPr>
      <w:pStyle w:val="Kopfzeile"/>
      <w:jc w:val="right"/>
      <w:rPr>
        <w:rFonts w:ascii="Calibri" w:hAnsi="Calibri" w:cs="Calibri"/>
        <w:sz w:val="20"/>
        <w:szCs w:val="20"/>
      </w:rPr>
    </w:pPr>
    <w:r w:rsidRPr="003858D1">
      <w:rPr>
        <w:rFonts w:ascii="Calibri" w:hAnsi="Calibri" w:cs="Calibri"/>
        <w:sz w:val="20"/>
        <w:szCs w:val="20"/>
      </w:rPr>
      <w:t>L’entreprise suisse Hawa Sliding Solutions AG au salon Interzum 2025</w:t>
    </w:r>
    <w:r>
      <w:rPr>
        <w:rFonts w:ascii="Calibri" w:hAnsi="Calibri" w:cs="Calibri"/>
        <w:sz w:val="20"/>
        <w:szCs w:val="20"/>
      </w:rPr>
      <w:t xml:space="preserve"> – page </w:t>
    </w:r>
    <w:r w:rsidRPr="003858D1">
      <w:rPr>
        <w:rFonts w:ascii="Calibri" w:hAnsi="Calibri" w:cs="Calibri"/>
        <w:sz w:val="20"/>
        <w:szCs w:val="20"/>
      </w:rPr>
      <w:fldChar w:fldCharType="begin"/>
    </w:r>
    <w:r w:rsidRPr="003858D1">
      <w:rPr>
        <w:rFonts w:ascii="Calibri" w:hAnsi="Calibri" w:cs="Calibri"/>
        <w:sz w:val="20"/>
        <w:szCs w:val="20"/>
      </w:rPr>
      <w:instrText>PAGE   \* MERGEFORMAT</w:instrText>
    </w:r>
    <w:r w:rsidRPr="003858D1">
      <w:rPr>
        <w:rFonts w:ascii="Calibri" w:hAnsi="Calibri" w:cs="Calibri"/>
        <w:sz w:val="20"/>
        <w:szCs w:val="20"/>
      </w:rPr>
      <w:fldChar w:fldCharType="separate"/>
    </w:r>
    <w:r w:rsidRPr="003858D1">
      <w:rPr>
        <w:rFonts w:ascii="Calibri" w:hAnsi="Calibri" w:cs="Calibri"/>
        <w:sz w:val="20"/>
        <w:szCs w:val="20"/>
        <w:lang w:val="de-DE"/>
      </w:rPr>
      <w:t>1</w:t>
    </w:r>
    <w:r w:rsidRPr="003858D1">
      <w:rPr>
        <w:rFonts w:ascii="Calibri" w:hAnsi="Calibri" w:cs="Calibri"/>
        <w:sz w:val="20"/>
        <w:szCs w:val="20"/>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4C73"/>
    <w:rsid w:val="000200F6"/>
    <w:rsid w:val="000435A5"/>
    <w:rsid w:val="000A65CD"/>
    <w:rsid w:val="00187457"/>
    <w:rsid w:val="002054E7"/>
    <w:rsid w:val="002857FB"/>
    <w:rsid w:val="003505D6"/>
    <w:rsid w:val="00353C17"/>
    <w:rsid w:val="003858D1"/>
    <w:rsid w:val="003B40B7"/>
    <w:rsid w:val="004448F2"/>
    <w:rsid w:val="00481F4C"/>
    <w:rsid w:val="00483953"/>
    <w:rsid w:val="004A0AEE"/>
    <w:rsid w:val="004B3C81"/>
    <w:rsid w:val="004E7F9D"/>
    <w:rsid w:val="00560CE8"/>
    <w:rsid w:val="00573B95"/>
    <w:rsid w:val="00583171"/>
    <w:rsid w:val="00583FD3"/>
    <w:rsid w:val="005D190C"/>
    <w:rsid w:val="005F5373"/>
    <w:rsid w:val="006179C9"/>
    <w:rsid w:val="006A7FBA"/>
    <w:rsid w:val="007259E3"/>
    <w:rsid w:val="00760124"/>
    <w:rsid w:val="00761B24"/>
    <w:rsid w:val="00774C73"/>
    <w:rsid w:val="0078686B"/>
    <w:rsid w:val="007B2628"/>
    <w:rsid w:val="007D5479"/>
    <w:rsid w:val="00824502"/>
    <w:rsid w:val="00833CF4"/>
    <w:rsid w:val="009334DA"/>
    <w:rsid w:val="009F7D92"/>
    <w:rsid w:val="00A314D4"/>
    <w:rsid w:val="00A31A58"/>
    <w:rsid w:val="00A435FC"/>
    <w:rsid w:val="00AA3264"/>
    <w:rsid w:val="00B40C56"/>
    <w:rsid w:val="00B74C2C"/>
    <w:rsid w:val="00B75EFA"/>
    <w:rsid w:val="00B94CC4"/>
    <w:rsid w:val="00BA2E1E"/>
    <w:rsid w:val="00CB1D25"/>
    <w:rsid w:val="00CC53B0"/>
    <w:rsid w:val="00DB6186"/>
    <w:rsid w:val="00DD0F27"/>
    <w:rsid w:val="00E33DBA"/>
    <w:rsid w:val="00E52293"/>
    <w:rsid w:val="00E63380"/>
    <w:rsid w:val="00E6472C"/>
    <w:rsid w:val="00EF38B0"/>
    <w:rsid w:val="00F929B4"/>
    <w:rsid w:val="00FA7136"/>
    <w:rsid w:val="00FB49FC"/>
    <w:rsid w:val="00FE69F4"/>
    <w:rsid w:val="00FF5EE3"/>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C02889"/>
  <w15:chartTrackingRefBased/>
  <w15:docId w15:val="{53D52394-DCCE-416B-AFE7-B0DA900308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774C7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774C7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774C73"/>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774C73"/>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774C73"/>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774C73"/>
    <w:pPr>
      <w:keepNext/>
      <w:keepLines/>
      <w:spacing w:before="4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774C73"/>
    <w:pPr>
      <w:keepNext/>
      <w:keepLines/>
      <w:spacing w:before="4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774C73"/>
    <w:pPr>
      <w:keepNext/>
      <w:keepLines/>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774C73"/>
    <w:pPr>
      <w:keepNext/>
      <w:keepLines/>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774C73"/>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774C73"/>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774C73"/>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774C73"/>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774C73"/>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774C73"/>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774C73"/>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774C73"/>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774C73"/>
    <w:rPr>
      <w:rFonts w:eastAsiaTheme="majorEastAsia" w:cstheme="majorBidi"/>
      <w:color w:val="272727" w:themeColor="text1" w:themeTint="D8"/>
    </w:rPr>
  </w:style>
  <w:style w:type="paragraph" w:styleId="Titel">
    <w:name w:val="Title"/>
    <w:basedOn w:val="Standard"/>
    <w:next w:val="Standard"/>
    <w:link w:val="TitelZchn"/>
    <w:uiPriority w:val="10"/>
    <w:qFormat/>
    <w:rsid w:val="00774C73"/>
    <w:pPr>
      <w:spacing w:after="80"/>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774C73"/>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774C73"/>
    <w:pPr>
      <w:numPr>
        <w:ilvl w:val="1"/>
      </w:numPr>
      <w:spacing w:after="160"/>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774C73"/>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774C73"/>
    <w:pPr>
      <w:spacing w:before="160" w:after="160"/>
      <w:jc w:val="center"/>
    </w:pPr>
    <w:rPr>
      <w:i/>
      <w:iCs/>
      <w:color w:val="404040" w:themeColor="text1" w:themeTint="BF"/>
    </w:rPr>
  </w:style>
  <w:style w:type="character" w:customStyle="1" w:styleId="ZitatZchn">
    <w:name w:val="Zitat Zchn"/>
    <w:basedOn w:val="Absatz-Standardschriftart"/>
    <w:link w:val="Zitat"/>
    <w:uiPriority w:val="29"/>
    <w:rsid w:val="00774C73"/>
    <w:rPr>
      <w:i/>
      <w:iCs/>
      <w:color w:val="404040" w:themeColor="text1" w:themeTint="BF"/>
    </w:rPr>
  </w:style>
  <w:style w:type="paragraph" w:styleId="Listenabsatz">
    <w:name w:val="List Paragraph"/>
    <w:basedOn w:val="Standard"/>
    <w:uiPriority w:val="34"/>
    <w:qFormat/>
    <w:rsid w:val="00774C73"/>
    <w:pPr>
      <w:ind w:left="720"/>
      <w:contextualSpacing/>
    </w:pPr>
  </w:style>
  <w:style w:type="character" w:styleId="IntensiveHervorhebung">
    <w:name w:val="Intense Emphasis"/>
    <w:basedOn w:val="Absatz-Standardschriftart"/>
    <w:uiPriority w:val="21"/>
    <w:qFormat/>
    <w:rsid w:val="00774C73"/>
    <w:rPr>
      <w:i/>
      <w:iCs/>
      <w:color w:val="0F4761" w:themeColor="accent1" w:themeShade="BF"/>
    </w:rPr>
  </w:style>
  <w:style w:type="paragraph" w:styleId="IntensivesZitat">
    <w:name w:val="Intense Quote"/>
    <w:basedOn w:val="Standard"/>
    <w:next w:val="Standard"/>
    <w:link w:val="IntensivesZitatZchn"/>
    <w:uiPriority w:val="30"/>
    <w:qFormat/>
    <w:rsid w:val="00774C7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774C73"/>
    <w:rPr>
      <w:i/>
      <w:iCs/>
      <w:color w:val="0F4761" w:themeColor="accent1" w:themeShade="BF"/>
    </w:rPr>
  </w:style>
  <w:style w:type="character" w:styleId="IntensiverVerweis">
    <w:name w:val="Intense Reference"/>
    <w:basedOn w:val="Absatz-Standardschriftart"/>
    <w:uiPriority w:val="32"/>
    <w:qFormat/>
    <w:rsid w:val="00774C73"/>
    <w:rPr>
      <w:b/>
      <w:bCs/>
      <w:smallCaps/>
      <w:color w:val="0F4761" w:themeColor="accent1" w:themeShade="BF"/>
      <w:spacing w:val="5"/>
    </w:rPr>
  </w:style>
  <w:style w:type="paragraph" w:styleId="Kopfzeile">
    <w:name w:val="header"/>
    <w:basedOn w:val="Standard"/>
    <w:link w:val="KopfzeileZchn"/>
    <w:uiPriority w:val="99"/>
    <w:unhideWhenUsed/>
    <w:rsid w:val="003858D1"/>
    <w:pPr>
      <w:tabs>
        <w:tab w:val="center" w:pos="4536"/>
        <w:tab w:val="right" w:pos="9072"/>
      </w:tabs>
    </w:pPr>
  </w:style>
  <w:style w:type="character" w:customStyle="1" w:styleId="KopfzeileZchn">
    <w:name w:val="Kopfzeile Zchn"/>
    <w:basedOn w:val="Absatz-Standardschriftart"/>
    <w:link w:val="Kopfzeile"/>
    <w:uiPriority w:val="99"/>
    <w:rsid w:val="003858D1"/>
  </w:style>
  <w:style w:type="paragraph" w:styleId="Fuzeile">
    <w:name w:val="footer"/>
    <w:basedOn w:val="Standard"/>
    <w:link w:val="FuzeileZchn"/>
    <w:uiPriority w:val="99"/>
    <w:unhideWhenUsed/>
    <w:rsid w:val="003858D1"/>
    <w:pPr>
      <w:tabs>
        <w:tab w:val="center" w:pos="4536"/>
        <w:tab w:val="right" w:pos="9072"/>
      </w:tabs>
    </w:pPr>
  </w:style>
  <w:style w:type="character" w:customStyle="1" w:styleId="FuzeileZchn">
    <w:name w:val="Fußzeile Zchn"/>
    <w:basedOn w:val="Absatz-Standardschriftart"/>
    <w:link w:val="Fuzeile"/>
    <w:uiPriority w:val="99"/>
    <w:rsid w:val="003858D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E110DC-9A65-4313-8056-6953B98FFC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496</Words>
  <Characters>3132</Characters>
  <Application>Microsoft Office Word</Application>
  <DocSecurity>0</DocSecurity>
  <Lines>26</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Bianca Hannemann</dc:creator>
  <cp:keywords/>
  <dc:description/>
  <cp:lastModifiedBy>Bianca Hannemann</cp:lastModifiedBy>
  <cp:revision>3</cp:revision>
  <cp:lastPrinted>2025-03-13T09:17:00Z</cp:lastPrinted>
  <dcterms:created xsi:type="dcterms:W3CDTF">2025-03-25T11:31:00Z</dcterms:created>
  <dcterms:modified xsi:type="dcterms:W3CDTF">2025-03-25T11:44:00Z</dcterms:modified>
</cp:coreProperties>
</file>